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A5E" w:rsidRPr="00004D3D" w:rsidRDefault="00951A5E" w:rsidP="00EF1444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004D3D">
        <w:rPr>
          <w:rFonts w:ascii="Times New Roman" w:hAnsi="Times New Roman"/>
          <w:sz w:val="28"/>
          <w:szCs w:val="28"/>
        </w:rPr>
        <w:t xml:space="preserve">Додаток </w:t>
      </w:r>
      <w:r w:rsidRPr="00004D3D">
        <w:rPr>
          <w:rFonts w:ascii="Times New Roman" w:hAnsi="Times New Roman"/>
          <w:sz w:val="28"/>
          <w:szCs w:val="28"/>
          <w:lang w:val="ru-RU"/>
        </w:rPr>
        <w:t xml:space="preserve"> 2 </w:t>
      </w:r>
    </w:p>
    <w:p w:rsidR="00951A5E" w:rsidRPr="00004D3D" w:rsidRDefault="00951A5E" w:rsidP="00004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 xml:space="preserve">Пояснювальна записка </w:t>
      </w:r>
    </w:p>
    <w:p w:rsidR="00951A5E" w:rsidRPr="00004D3D" w:rsidRDefault="00951A5E" w:rsidP="00004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>до звіту про хід виконання</w:t>
      </w:r>
      <w:r w:rsidRPr="00004D3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0615F">
        <w:rPr>
          <w:rFonts w:ascii="Times New Roman" w:hAnsi="Times New Roman"/>
          <w:b/>
          <w:sz w:val="28"/>
          <w:szCs w:val="28"/>
        </w:rPr>
        <w:t xml:space="preserve">у 2021 </w:t>
      </w:r>
      <w:r w:rsidRPr="00004D3D">
        <w:rPr>
          <w:rFonts w:ascii="Times New Roman" w:hAnsi="Times New Roman"/>
          <w:b/>
          <w:sz w:val="28"/>
          <w:szCs w:val="28"/>
        </w:rPr>
        <w:t>році</w:t>
      </w:r>
    </w:p>
    <w:p w:rsidR="00951A5E" w:rsidRPr="00004D3D" w:rsidRDefault="00951A5E" w:rsidP="00004D3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04D3D">
        <w:rPr>
          <w:rFonts w:ascii="Times New Roman" w:hAnsi="Times New Roman"/>
          <w:b/>
          <w:sz w:val="28"/>
          <w:szCs w:val="28"/>
        </w:rPr>
        <w:t>Програми розвитку туризму і курортів</w:t>
      </w:r>
      <w:r w:rsidR="007C7A31">
        <w:rPr>
          <w:rFonts w:ascii="Times New Roman" w:hAnsi="Times New Roman"/>
          <w:b/>
          <w:sz w:val="28"/>
          <w:szCs w:val="28"/>
        </w:rPr>
        <w:t xml:space="preserve"> у Закарпатській області на </w:t>
      </w:r>
      <w:r w:rsidR="006D4E88">
        <w:rPr>
          <w:rFonts w:ascii="Times New Roman" w:hAnsi="Times New Roman"/>
          <w:b/>
          <w:sz w:val="28"/>
          <w:szCs w:val="28"/>
        </w:rPr>
        <w:t xml:space="preserve">               </w:t>
      </w:r>
      <w:r w:rsidR="007C7A31">
        <w:rPr>
          <w:rFonts w:ascii="Times New Roman" w:hAnsi="Times New Roman"/>
          <w:b/>
          <w:sz w:val="28"/>
          <w:szCs w:val="28"/>
        </w:rPr>
        <w:t>2021</w:t>
      </w:r>
      <w:r w:rsidRPr="00004D3D">
        <w:rPr>
          <w:rFonts w:ascii="Times New Roman" w:hAnsi="Times New Roman"/>
          <w:b/>
          <w:sz w:val="28"/>
          <w:szCs w:val="28"/>
        </w:rPr>
        <w:t xml:space="preserve"> </w:t>
      </w:r>
      <w:r w:rsidRPr="00004D3D">
        <w:rPr>
          <w:rFonts w:ascii="Times New Roman" w:hAnsi="Times New Roman"/>
          <w:sz w:val="28"/>
          <w:szCs w:val="28"/>
        </w:rPr>
        <w:t xml:space="preserve">– </w:t>
      </w:r>
      <w:r w:rsidR="007C7A31">
        <w:rPr>
          <w:rFonts w:ascii="Times New Roman" w:hAnsi="Times New Roman"/>
          <w:b/>
          <w:sz w:val="28"/>
          <w:szCs w:val="28"/>
        </w:rPr>
        <w:t>2023</w:t>
      </w:r>
      <w:r w:rsidRPr="00004D3D">
        <w:rPr>
          <w:rFonts w:ascii="Times New Roman" w:hAnsi="Times New Roman"/>
          <w:b/>
          <w:sz w:val="28"/>
          <w:szCs w:val="28"/>
        </w:rPr>
        <w:t xml:space="preserve"> роки </w:t>
      </w:r>
    </w:p>
    <w:p w:rsidR="00951A5E" w:rsidRPr="006662DA" w:rsidRDefault="00951A5E" w:rsidP="00004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951A5E" w:rsidRPr="00004D3D" w:rsidRDefault="00951A5E" w:rsidP="00B95CDB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004D3D">
        <w:rPr>
          <w:rFonts w:ascii="Times New Roman" w:hAnsi="Times New Roman"/>
          <w:bCs/>
          <w:sz w:val="28"/>
          <w:szCs w:val="28"/>
          <w:lang w:eastAsia="uk-UA"/>
        </w:rPr>
        <w:t>Розвиток туристичної галузі Закарпатської області протягом 202</w:t>
      </w:r>
      <w:r w:rsidR="0050615F">
        <w:rPr>
          <w:rFonts w:ascii="Times New Roman" w:hAnsi="Times New Roman"/>
          <w:bCs/>
          <w:sz w:val="28"/>
          <w:szCs w:val="28"/>
          <w:lang w:eastAsia="uk-UA"/>
        </w:rPr>
        <w:t>1</w:t>
      </w:r>
      <w:r w:rsidRPr="00004D3D">
        <w:rPr>
          <w:rFonts w:ascii="Times New Roman" w:hAnsi="Times New Roman"/>
          <w:bCs/>
          <w:sz w:val="28"/>
          <w:szCs w:val="28"/>
          <w:lang w:eastAsia="uk-UA"/>
        </w:rPr>
        <w:t xml:space="preserve"> року здійснювався у рамках реалізації заходів Програми розвитку туризму і курортів</w:t>
      </w:r>
      <w:r w:rsidR="0050615F">
        <w:rPr>
          <w:rFonts w:ascii="Times New Roman" w:hAnsi="Times New Roman"/>
          <w:bCs/>
          <w:sz w:val="28"/>
          <w:szCs w:val="28"/>
          <w:lang w:eastAsia="uk-UA"/>
        </w:rPr>
        <w:t xml:space="preserve"> у Закарпатській області на 2021 – 2023</w:t>
      </w:r>
      <w:r w:rsidRPr="00004D3D">
        <w:rPr>
          <w:rFonts w:ascii="Times New Roman" w:hAnsi="Times New Roman"/>
          <w:bCs/>
          <w:sz w:val="28"/>
          <w:szCs w:val="28"/>
          <w:lang w:eastAsia="uk-UA"/>
        </w:rPr>
        <w:t xml:space="preserve"> роки.</w:t>
      </w:r>
    </w:p>
    <w:p w:rsidR="00951A5E" w:rsidRPr="00004D3D" w:rsidRDefault="00951A5E" w:rsidP="00B95C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4D3D">
        <w:rPr>
          <w:rFonts w:ascii="Times New Roman" w:hAnsi="Times New Roman"/>
          <w:sz w:val="28"/>
          <w:szCs w:val="28"/>
        </w:rPr>
        <w:t xml:space="preserve">Згідно останнього моніторингу мережа оздоровчих, рекреаційних та туристичних об'єктів області нараховує 511 об'єктів, у т.ч.: 23 – оздоровчих,  126 – рекреаційних,  362 – туристичних. У області одночасно можна розмістити близько 26000 осіб.  </w:t>
      </w:r>
    </w:p>
    <w:p w:rsidR="00951A5E" w:rsidRPr="00004D3D" w:rsidRDefault="00951A5E" w:rsidP="00A03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4D3D">
        <w:rPr>
          <w:rFonts w:ascii="Times New Roman" w:hAnsi="Times New Roman"/>
          <w:sz w:val="28"/>
          <w:szCs w:val="28"/>
        </w:rPr>
        <w:t xml:space="preserve">У області нараховується 56 діючих гірськолижних витягів, у т.ч.:  </w:t>
      </w:r>
      <w:proofErr w:type="spellStart"/>
      <w:r w:rsidRPr="00004D3D">
        <w:rPr>
          <w:rFonts w:ascii="Times New Roman" w:hAnsi="Times New Roman"/>
          <w:sz w:val="28"/>
          <w:szCs w:val="28"/>
        </w:rPr>
        <w:t>бугельних</w:t>
      </w:r>
      <w:proofErr w:type="spellEnd"/>
      <w:r w:rsidRPr="00004D3D">
        <w:rPr>
          <w:rFonts w:ascii="Times New Roman" w:hAnsi="Times New Roman"/>
          <w:sz w:val="28"/>
          <w:szCs w:val="28"/>
        </w:rPr>
        <w:t xml:space="preserve"> – 40, крісельних – 8, якірних – 3, елеваторного типу – 2, </w:t>
      </w:r>
      <w:proofErr w:type="spellStart"/>
      <w:r w:rsidRPr="00004D3D">
        <w:rPr>
          <w:rFonts w:ascii="Times New Roman" w:hAnsi="Times New Roman"/>
          <w:sz w:val="28"/>
          <w:szCs w:val="28"/>
        </w:rPr>
        <w:t>мультиліфти</w:t>
      </w:r>
      <w:proofErr w:type="spellEnd"/>
      <w:r w:rsidRPr="00004D3D">
        <w:rPr>
          <w:rFonts w:ascii="Times New Roman" w:hAnsi="Times New Roman"/>
          <w:sz w:val="28"/>
          <w:szCs w:val="28"/>
        </w:rPr>
        <w:t xml:space="preserve"> – 3, а також </w:t>
      </w:r>
      <w:proofErr w:type="spellStart"/>
      <w:r w:rsidRPr="00004D3D">
        <w:rPr>
          <w:rFonts w:ascii="Times New Roman" w:hAnsi="Times New Roman"/>
          <w:sz w:val="28"/>
          <w:szCs w:val="28"/>
        </w:rPr>
        <w:t>ратраків</w:t>
      </w:r>
      <w:proofErr w:type="spellEnd"/>
      <w:r w:rsidRPr="00004D3D">
        <w:rPr>
          <w:rFonts w:ascii="Times New Roman" w:hAnsi="Times New Roman"/>
          <w:sz w:val="28"/>
          <w:szCs w:val="28"/>
        </w:rPr>
        <w:t xml:space="preserve"> – 26, пунктів прокату - 38.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Власники сільських садиб постійно працюють над створенням нового туристичного продукту для відпочиваючих та туристів. Понад 500 сільських садиб області готові надавати послуги з розміщення, харчування та організації дозвілля. 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Проведено робочі зустрічі з представниками ГО ,,Щасливі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діти”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щодо реалізації проекту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„Промоція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історико-культурної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природної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спадщини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Ужанської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долини через формування нових партнерств і створення спільних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продуктів”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спільно з Агенцією регіонального розвитку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Закарпатської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області та представниками територіальних громад Ужгородського району виїзне засідання по туристичних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локаціях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майбутніх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культурних маршрутів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Ужанською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долиною. Також прийнято участь у виїзному прес-турі, який проходив в рамках реалізації проекту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„Культурно-пізнавальні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туристичні маршрути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„Пізнай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Ужанську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долину”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 інтерактивних листівках з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аудіогідами”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Проведено дві зустрічі щодо облаштування двох туристичних маршрутів: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„Маршрут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7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озер”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(Мукачівський район);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„Шлях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святої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Анни”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(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Баранинська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сільська рада Ужгородського району).  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Проведено три робочі зустрічі з представниками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НПП, Чопського прикордонного загону, громадськими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організаціяти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профільними структурними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підрозділамив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облдержадміністрації з питань туризму та екології щодо розвитку туризму на прикордонній заповідній території та обстеження туристичних маршрутів на території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НПП.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Участь у виїзному урочистому відкритті 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арт-об’єктів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на території Виноградівського, 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Квасівського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Королевського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замків, які встановлені у межах проекту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„Відновлення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туристичної привабливості історичного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„Соляного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Шляху”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фінальній прес-конференції по проекту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„Відновлення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туристичної привабливості історичного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„Соляного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Шляху”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>Крім того, було організовано та прийнято участь у нарадах щодо: організації фестивалю "Мандруй Україною" до 30-річчя Незалежності України; перспективи розвитку зимового туризму та зимових видів спорту на Закарпатті в 2021 – 2026 роки; перспектив розвитку сталого туризму в громадах Закарпаття тощо.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lastRenderedPageBreak/>
        <w:t xml:space="preserve">З 22 по 24 серпня у м. Київ, на території Національного  музею народної архітектури та побуту України «Пирогів», відбувся Всеукраїнський фестиваль-виставка народно-художніх промислів та туристичних маршрутів «Мандруй Україною», що приурочений до 30-ї річниці Незалежності України. Туристичний потенціал Закарпаття на фестиваль-виставці був представлений посередництвом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крафтових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локальних продуктів, автентичних робіт закарпатських майстринь декоративно-прикладного мистецтва, а також різноманітної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промоційної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продукції, в тому числі маленької копії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Бронівського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замку, що була створена в рамках проекту «Замки в мініатюрі».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З 15 по 16 серпня відбулась презентація проекту "52 способи життя в Карпатах - відкриття традиційної культурної праці" та ярмарки Go52 в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Негресті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Оас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 Румунії. Туристичний потенціал Закарпаття вперше був представлений на виставковому стенді у Румунії, посередництвом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промоційної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продукції та локальних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крафтових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напоїв.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27 вересня, в рамках програми відзначення «Днів України 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Кошіце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» 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м.Кошіце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туристичний потенціал Закарпаття був представлений за допомогою виставки різноманітної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промоційної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продукції, серед якої були й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крафтові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продукти.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Крім того, у період із 24 вересня по 1 жовтня 2021 року тривав туристичний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тиджень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Закарпаття, заходами якого було проведено: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24 вересня – презентації проекту ,,Віртуальний музей гастрономічної спадщини ,,Вітрина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у м. Хуст;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25 вересня - презентація проекту культурно-туристичного маршруту ,,Гуцульські сирні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плаї”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смт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Ясіня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Рахівського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району;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>27 вересня - урочисті заходи з нагоди Всесвітнього дня туризму та Дня туризму в Україні;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28 вересня – відбулась перша Міжнародна конференція ,,Сільський туризм Закарпаття: становлення, розвиток,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перспективи”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28-29 вересня - інформаційно-пізнавальний тур місцями туристично-рекреаційної привабливості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Ужанської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долини для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блогерів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, туристичних фірм та ЗМІ зі всієї України;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30 вересня - І Міжнародний туристичний форум на тему ,,Розвиток туризму в громадах: інвестиції, нові проекти та інструменти для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промоції”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;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1 жовтня - інформаційно-пізнавальний тур місцями туристичного магніту ,,Замками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для представників областей України.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Також, 1 жовтня взято участь у науковій конференції "Збереження та популяризація культурної спадщини прикордонних регіонів", яка проходила у Закарпатському музеї народної архітектури та побуту "Ужгородський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Скансен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" і була  частиною міжнародного грантового проекту "Культурні зв'язки - культурна мобільність у прикордонному регіоні", що реалізовується у партнерстві з Повітовим музеєм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Сату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Маре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(Румунія) та Музеєм української культури 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Свиднику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(Словаччина).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3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жовтня–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участь у заході, з нагоди закриття проходження ЗТШ (Закарпатський туристичний шлях).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lastRenderedPageBreak/>
        <w:t xml:space="preserve">19 – 21 жовтня 2021 року забезпечено участь у Міжнародній туристичній виставці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„ТурЕкспо”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яка проходила у рамках Львівського форуму індустрії туризму та гостинності на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„Арені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Львів”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9 листопада, під головуванням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Шинкарюк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Ігор - заступник голови Закарпатської ОДА, відбулась засідання обласної комісія із розроблення заходів щодо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знакування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/маркування туристичних маршрутів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Закарпатської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області. За підсумками засідання було вирішено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промаркувати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відрізок Закарпатського туристичного шляху протяжністю 7 км: ,,Пункт пропуску «М..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Березний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» - «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Убля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» –                         «В.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Березний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(залізничний вокзал)» –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ур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Термачув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9-11 грудня відбувся інформаційно-пізнавальний тур на зимову тематику місцями туристичної привабливості Закарпаття для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блогерів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туристичних фірм та ЗМІ зі всієї України. Тур охопив найкращі туристичні родзинки Закарпаття для зимового відпочинку: зокрема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Драгобрат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Поляну,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Хустщину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 Серед учасників туру були представники з різних міст, зокрема з Києва, Одеси, та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блогери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з 200-х тисячною аудиторією.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12 листопада 2021 року відбулась робоча зустріч з партнерами з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Румунії</w:t>
      </w:r>
      <w:r w:rsidRPr="0050615F">
        <w:rPr>
          <w:rFonts w:ascii="Segoe UI Symbol" w:hAnsi="Segoe UI Symbol" w:cs="Segoe UI Symbol"/>
          <w:bCs/>
          <w:sz w:val="28"/>
          <w:szCs w:val="28"/>
          <w:lang w:eastAsia="uk-UA"/>
        </w:rPr>
        <w:t>🇦🇩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в межах проекту "SMAR.T.OURISM", на якій була присутня начальниця управління туризму та курортів Маріанна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Готра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.Реалізація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проекту передбачає здійснення заходів протягом 2021-2022 рр. щодо облагородження територій замків, їх збереження та розроблення тематичних маршрутів із доповненою реальністю AR-технологій, які будуть використані в проекті.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13 листопада за організації та участі Державного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агенства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розвитку туризму України, під головуванням голови ДАРТ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Маряни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Олеськів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відбулась «Регіональна туристична конференція. Закарпаття». Участь у конференції взяли представники виконавчої влади, агенції регіонального розвитку та громадські організації, діяльність яких спрямована на розвиток туризму. 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14 грудня на полонині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Драгобрат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відбулась перша практична конференція по безпеці туристів у горах, яка була організована управлінням туризму та курортів Закарпатської облдержадміністрації завдяки Програмі розвитку туризму та курортів у Закарпатській області на 2021-2023 роки. На заході були присутні представники Закарпатської ОДА, управління ДСНС України у Закарпатській області, управління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Держпраці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у Закарпатській області, представники готелів, розміщених поруч з гірськолижними витягами, власники туристичного спорядження, яке надається в оренду, тощо.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16 грудня 2021 року на території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еко-курорту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Ізки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відбулась друга практична конференція по безпеці туристів у горах на гірськолижних курортах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Боржавського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хребта, яка була організована управлінням туризму та курортів Закарпатської облдержадміністрації завдяки Програмі розвитку туризму та курортів у Закарпатській області на 2021-2023 роки.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17 грудня відбулось засідання робочої групи щодо реалізації проекту «Розвиток туристичної інфраструктури Закарпатської області через покращення навігаційних елементів та встановлення туристичних стоянок».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22 грудня, об 11:00 у прес-центрі облдержадміністрації відбувся брифінг «Підсумки за результатами роботи управління туризму та курортів Закарпатської ОДА у 2021 році».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lastRenderedPageBreak/>
        <w:t xml:space="preserve">Інформація про туристичні можливості області постійно висвітлювалась на сторінках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„Управління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туризму та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курортів”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„Туристичний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бренд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у соціальній мережі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фейсбук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на офіційному туристично-інформаційному порталі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„Вітаємо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на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Закарпатті”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   Протягом звітного періоду здійснена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промоційна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діяльність шляхом випуску інформаційних видань про туристично-рекреаційну індустрію області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ураїнською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мовою та мовами країн Євросоюзу, зокрема: довідник ,,Зимове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(українською та англійською), а також вперше випущено зазначений довідник на румунській мові, буклети ,,Зимове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,,Квітуче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туристична карта Закарпаття формату Б2, ,,Топ -30 маршрутів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настінні та кишенькові календарі на 2022 рік. Також випущено сувенірну продукцію з туристичним логотипом Закарпаття. 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 На виконання заходів Програми розвитку туризму та курортів у Закарпатській області на 2021-2023 роки, вперше було замовлено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відзняття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відеофільму про туристичний потенціал Закарпаття тривалістю більше 1 год. Крім того, в області було розроблено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аудіогід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по туристичному магніту ,,Замки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із подальшим розміщенням на міжнародній платформі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izi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travel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Крім того, розпочато роботу щодо розробки 3Д туру ,,Замками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Закарпаття”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Наразі розпочали процес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оцифровування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замкових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локацій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через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аеропонароми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розміщення їх на мапі з інформаційним наповненням українською та англійською мовами. Зазначений продукт буде розміщено у вільному доступі на туристичному офіційному порталі ,,Вітаємо на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Закарпатті”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Також, у рамках зазначеного заходу Програми було придбано 80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фотосвітлин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на туристичну тематику для використання їх 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іміджевих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інформаційних друкованих матеріалах про Закарпаття, а також 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соцмережах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>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     Також протягом звітного періоду підтримано організаційно та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інформаційно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ряд проектів: Це: «Культурно-пізнавальні туристичні маршрути «Пізнай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Ужанську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долину» в інтерактивних листівках з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аудіогідами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», «Віртуальний музей гастрономічної спадщини «Вітрина Закарпаття», культурно-туристичний проект ,,Гуцульські сирні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плаї”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,,Дорогу вина 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смакукультурно-туристичного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проекту ,,Гуцульські сирні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плаї”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, відновлення туристичної привабливості історичного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„Соляного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Шляху”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;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“Google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для туризму: розвиток бізнесу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онлайн”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та інші. 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   Протягом січня-грудня 2021 року до місцевих бюджетів Закарпатської області сплачено 11 748 500 грн. туристичного збору, що на 82,5 відсотка  більше аналогічного періоду минулого року. У тому числі: туристичний збір, сплачений фізичними особами, зріс порівняно з відповідним періодом минулого року на 107,1 відсотка, що становить 7 636 тис. грн.,  а збір, сплачений юридичними особами – на 49,6 відсотка, що становить 4 112,5 тис. грн.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        Найбільші суми туристичного збору надійшли до бюджетів територіальних громад: с. Поляна – 3 683,0 тис. грн.; с. Баранинці – 1 041,3 тис. грн.;  м. Ужгород – 855,2 тис.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грн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; с.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Косонь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817,8 тис. грн.; с.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Пилипець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 634,0  тис. грн.;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смт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Ясіня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596,5 тис. грн.; м.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Мукачево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 581,6 тис. грн.; м. Берегово – 528,5 тис. грн.; м. Виноградів –  525,5 тис. грн.; с.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Тур᾿я-Ремета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453,9 тис. грн.;  с. Вишка –  441,0 тис. грн.; с. </w:t>
      </w:r>
      <w:proofErr w:type="spellStart"/>
      <w:r w:rsidRPr="0050615F">
        <w:rPr>
          <w:rFonts w:ascii="Times New Roman" w:hAnsi="Times New Roman"/>
          <w:bCs/>
          <w:sz w:val="28"/>
          <w:szCs w:val="28"/>
          <w:lang w:eastAsia="uk-UA"/>
        </w:rPr>
        <w:t>Жденієво</w:t>
      </w:r>
      <w:proofErr w:type="spellEnd"/>
      <w:r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361,0 тис. грн.</w:t>
      </w:r>
    </w:p>
    <w:p w:rsidR="0050615F" w:rsidRPr="0050615F" w:rsidRDefault="00BE0738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lastRenderedPageBreak/>
        <w:t xml:space="preserve">  </w:t>
      </w:r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Найбільший приріст у порівнянні з надходженнями  туристичного податку у 2021 році за період з січня місяця по грудень місяць цього року відбувся у громадах: 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Усть-Чорнянська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15,58;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Довжанська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 3,86;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Великобичкiвська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 3,8;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Середнянська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3,58 разів;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Чинадiївська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– у 3,22;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Нелiпинська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3,17;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Воловецька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–  у 2,82;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Берегiвська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 у 2,51;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Косоньська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– у 2,48; 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Виноградiвська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– у 2,35;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Синевирська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 – у 2,31;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Ясiнянська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2,23; 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Великобийганська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2,16; </w:t>
      </w:r>
      <w:proofErr w:type="spellStart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>Дубiвська</w:t>
      </w:r>
      <w:proofErr w:type="spellEnd"/>
      <w:r w:rsidR="0050615F" w:rsidRPr="0050615F">
        <w:rPr>
          <w:rFonts w:ascii="Times New Roman" w:hAnsi="Times New Roman"/>
          <w:bCs/>
          <w:sz w:val="28"/>
          <w:szCs w:val="28"/>
          <w:lang w:eastAsia="uk-UA"/>
        </w:rPr>
        <w:t xml:space="preserve"> – у 2,15 рази відповідно.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50615F">
        <w:rPr>
          <w:rFonts w:ascii="Times New Roman" w:hAnsi="Times New Roman"/>
          <w:bCs/>
          <w:sz w:val="28"/>
          <w:szCs w:val="28"/>
          <w:lang w:eastAsia="uk-UA"/>
        </w:rPr>
        <w:t>Взагалі немає надходжень туристичного збору за 2021 рік у шістнадцяти територіальних громадах.</w:t>
      </w:r>
    </w:p>
    <w:p w:rsidR="0050615F" w:rsidRPr="0050615F" w:rsidRDefault="0050615F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951A5E" w:rsidRPr="0050615F" w:rsidRDefault="00951A5E" w:rsidP="0050615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951A5E" w:rsidRPr="00004D3D" w:rsidRDefault="00951A5E" w:rsidP="00004D3D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951A5E" w:rsidRPr="00004D3D" w:rsidRDefault="0050615F" w:rsidP="00004D3D">
      <w:pPr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. начальника управління </w:t>
      </w:r>
      <w:r w:rsidR="00951A5E" w:rsidRPr="00004D3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     </w:t>
      </w:r>
      <w:bookmarkStart w:id="0" w:name="_GoBack"/>
      <w:bookmarkEnd w:id="0"/>
      <w:r w:rsidR="00951A5E" w:rsidRPr="00004D3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Іва</w:t>
      </w:r>
      <w:r w:rsidR="00951A5E" w:rsidRPr="00004D3D"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нна 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 xml:space="preserve">ПОПЕНКО </w:t>
      </w:r>
    </w:p>
    <w:sectPr w:rsidR="00951A5E" w:rsidRPr="00004D3D" w:rsidSect="00004D3D">
      <w:headerReference w:type="even" r:id="rId8"/>
      <w:headerReference w:type="default" r:id="rId9"/>
      <w:pgSz w:w="11906" w:h="16838"/>
      <w:pgMar w:top="709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298" w:rsidRDefault="007B7298">
      <w:r>
        <w:separator/>
      </w:r>
    </w:p>
  </w:endnote>
  <w:endnote w:type="continuationSeparator" w:id="0">
    <w:p w:rsidR="007B7298" w:rsidRDefault="007B7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298" w:rsidRDefault="007B7298">
      <w:r>
        <w:separator/>
      </w:r>
    </w:p>
  </w:footnote>
  <w:footnote w:type="continuationSeparator" w:id="0">
    <w:p w:rsidR="007B7298" w:rsidRDefault="007B7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A5E" w:rsidRDefault="009D31BC" w:rsidP="0076415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51A5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1A5E" w:rsidRDefault="00951A5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A5E" w:rsidRDefault="009D31BC" w:rsidP="0076415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51A5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4E88">
      <w:rPr>
        <w:rStyle w:val="a6"/>
        <w:noProof/>
      </w:rPr>
      <w:t>5</w:t>
    </w:r>
    <w:r>
      <w:rPr>
        <w:rStyle w:val="a6"/>
      </w:rPr>
      <w:fldChar w:fldCharType="end"/>
    </w:r>
  </w:p>
  <w:p w:rsidR="00951A5E" w:rsidRDefault="00951A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20C63"/>
    <w:multiLevelType w:val="hybridMultilevel"/>
    <w:tmpl w:val="6CE60C4E"/>
    <w:lvl w:ilvl="0" w:tplc="9BAEC7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B1996"/>
    <w:multiLevelType w:val="hybridMultilevel"/>
    <w:tmpl w:val="9D58C81A"/>
    <w:lvl w:ilvl="0" w:tplc="042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5C231C4"/>
    <w:multiLevelType w:val="hybridMultilevel"/>
    <w:tmpl w:val="BDB8AADA"/>
    <w:lvl w:ilvl="0" w:tplc="386ABCE2">
      <w:start w:val="201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BF2"/>
    <w:rsid w:val="00004D3D"/>
    <w:rsid w:val="00011C66"/>
    <w:rsid w:val="00016D74"/>
    <w:rsid w:val="000177CE"/>
    <w:rsid w:val="00032860"/>
    <w:rsid w:val="0007117F"/>
    <w:rsid w:val="000872B7"/>
    <w:rsid w:val="000A64D6"/>
    <w:rsid w:val="000B15F1"/>
    <w:rsid w:val="000B1641"/>
    <w:rsid w:val="000B7AF1"/>
    <w:rsid w:val="000C0C26"/>
    <w:rsid w:val="000C38D2"/>
    <w:rsid w:val="001124C0"/>
    <w:rsid w:val="00137C07"/>
    <w:rsid w:val="0015596E"/>
    <w:rsid w:val="001570E1"/>
    <w:rsid w:val="00195D50"/>
    <w:rsid w:val="001E1A41"/>
    <w:rsid w:val="001F4CB5"/>
    <w:rsid w:val="001F69DE"/>
    <w:rsid w:val="00265B00"/>
    <w:rsid w:val="002C3FA3"/>
    <w:rsid w:val="00323EA6"/>
    <w:rsid w:val="00375D72"/>
    <w:rsid w:val="003869C6"/>
    <w:rsid w:val="003A35A5"/>
    <w:rsid w:val="003A35A9"/>
    <w:rsid w:val="003B30AC"/>
    <w:rsid w:val="003B65E1"/>
    <w:rsid w:val="003F2E94"/>
    <w:rsid w:val="00413B2B"/>
    <w:rsid w:val="00443431"/>
    <w:rsid w:val="00446841"/>
    <w:rsid w:val="00447185"/>
    <w:rsid w:val="00460516"/>
    <w:rsid w:val="00462AA2"/>
    <w:rsid w:val="004640D6"/>
    <w:rsid w:val="004658E5"/>
    <w:rsid w:val="004A469B"/>
    <w:rsid w:val="004E2C38"/>
    <w:rsid w:val="0050615F"/>
    <w:rsid w:val="00571589"/>
    <w:rsid w:val="00590FCA"/>
    <w:rsid w:val="005B407B"/>
    <w:rsid w:val="005D0880"/>
    <w:rsid w:val="005E3BE2"/>
    <w:rsid w:val="005F306B"/>
    <w:rsid w:val="0060624D"/>
    <w:rsid w:val="00623537"/>
    <w:rsid w:val="006662DA"/>
    <w:rsid w:val="006A0C36"/>
    <w:rsid w:val="006A2EF9"/>
    <w:rsid w:val="006D4E88"/>
    <w:rsid w:val="00740554"/>
    <w:rsid w:val="007447B6"/>
    <w:rsid w:val="00764150"/>
    <w:rsid w:val="007A3ECD"/>
    <w:rsid w:val="007B0C89"/>
    <w:rsid w:val="007B7298"/>
    <w:rsid w:val="007C0D28"/>
    <w:rsid w:val="007C7A31"/>
    <w:rsid w:val="007D7286"/>
    <w:rsid w:val="007F3814"/>
    <w:rsid w:val="008042CB"/>
    <w:rsid w:val="00814A30"/>
    <w:rsid w:val="00846AB8"/>
    <w:rsid w:val="00867F5F"/>
    <w:rsid w:val="00873677"/>
    <w:rsid w:val="008A6E30"/>
    <w:rsid w:val="00904052"/>
    <w:rsid w:val="009125D5"/>
    <w:rsid w:val="0091729C"/>
    <w:rsid w:val="009222CE"/>
    <w:rsid w:val="00940509"/>
    <w:rsid w:val="00951A5E"/>
    <w:rsid w:val="009529CF"/>
    <w:rsid w:val="0095611C"/>
    <w:rsid w:val="00994726"/>
    <w:rsid w:val="009B702D"/>
    <w:rsid w:val="009D31BC"/>
    <w:rsid w:val="00A039F2"/>
    <w:rsid w:val="00A27022"/>
    <w:rsid w:val="00A27218"/>
    <w:rsid w:val="00A31903"/>
    <w:rsid w:val="00A47ABB"/>
    <w:rsid w:val="00A57C19"/>
    <w:rsid w:val="00A84972"/>
    <w:rsid w:val="00A87FC8"/>
    <w:rsid w:val="00A96A4A"/>
    <w:rsid w:val="00AD2F75"/>
    <w:rsid w:val="00B04A2E"/>
    <w:rsid w:val="00B13E96"/>
    <w:rsid w:val="00B347E9"/>
    <w:rsid w:val="00B35DEA"/>
    <w:rsid w:val="00B4750A"/>
    <w:rsid w:val="00B6445D"/>
    <w:rsid w:val="00B81C1C"/>
    <w:rsid w:val="00B95CDB"/>
    <w:rsid w:val="00BA139D"/>
    <w:rsid w:val="00BE0738"/>
    <w:rsid w:val="00BE1AC1"/>
    <w:rsid w:val="00BE3A5E"/>
    <w:rsid w:val="00C05558"/>
    <w:rsid w:val="00C2734C"/>
    <w:rsid w:val="00C402E5"/>
    <w:rsid w:val="00C64DC2"/>
    <w:rsid w:val="00C700A5"/>
    <w:rsid w:val="00C7078F"/>
    <w:rsid w:val="00CD6ACC"/>
    <w:rsid w:val="00CE6FFA"/>
    <w:rsid w:val="00D00380"/>
    <w:rsid w:val="00D15C6E"/>
    <w:rsid w:val="00D36F04"/>
    <w:rsid w:val="00D753E9"/>
    <w:rsid w:val="00DB4D99"/>
    <w:rsid w:val="00DC649D"/>
    <w:rsid w:val="00DD4C46"/>
    <w:rsid w:val="00DD726E"/>
    <w:rsid w:val="00DF1242"/>
    <w:rsid w:val="00DF3BAB"/>
    <w:rsid w:val="00E13F08"/>
    <w:rsid w:val="00E17B9E"/>
    <w:rsid w:val="00E36698"/>
    <w:rsid w:val="00E621D4"/>
    <w:rsid w:val="00E803E4"/>
    <w:rsid w:val="00E80977"/>
    <w:rsid w:val="00E810A6"/>
    <w:rsid w:val="00EC5495"/>
    <w:rsid w:val="00EE2BCE"/>
    <w:rsid w:val="00EE700C"/>
    <w:rsid w:val="00EF1444"/>
    <w:rsid w:val="00F0284D"/>
    <w:rsid w:val="00F32DC6"/>
    <w:rsid w:val="00F535AF"/>
    <w:rsid w:val="00F60619"/>
    <w:rsid w:val="00F8198E"/>
    <w:rsid w:val="00F82C96"/>
    <w:rsid w:val="00FB00F7"/>
    <w:rsid w:val="00FD0546"/>
    <w:rsid w:val="00FD4BF2"/>
    <w:rsid w:val="00FD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8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7AF1"/>
    <w:pPr>
      <w:ind w:left="720"/>
      <w:contextualSpacing/>
    </w:pPr>
  </w:style>
  <w:style w:type="paragraph" w:styleId="a4">
    <w:name w:val="header"/>
    <w:basedOn w:val="a"/>
    <w:link w:val="a5"/>
    <w:uiPriority w:val="99"/>
    <w:rsid w:val="00814A30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semiHidden/>
    <w:locked/>
    <w:rsid w:val="00E803E4"/>
    <w:rPr>
      <w:rFonts w:cs="Times New Roman"/>
      <w:lang w:eastAsia="en-US"/>
    </w:rPr>
  </w:style>
  <w:style w:type="character" w:styleId="a6">
    <w:name w:val="page number"/>
    <w:uiPriority w:val="99"/>
    <w:rsid w:val="00814A30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14A30"/>
    <w:rPr>
      <w:rFonts w:ascii="Times New Roman" w:hAnsi="Times New Roman"/>
      <w:sz w:val="2"/>
      <w:szCs w:val="20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E803E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24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4564F-F214-434E-81F8-F53DD842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5</Pages>
  <Words>7996</Words>
  <Characters>4559</Characters>
  <Application>Microsoft Office Word</Application>
  <DocSecurity>0</DocSecurity>
  <Lines>37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80</cp:revision>
  <cp:lastPrinted>2020-01-31T10:42:00Z</cp:lastPrinted>
  <dcterms:created xsi:type="dcterms:W3CDTF">2019-01-14T12:43:00Z</dcterms:created>
  <dcterms:modified xsi:type="dcterms:W3CDTF">2022-02-10T06:57:00Z</dcterms:modified>
</cp:coreProperties>
</file>